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681C">
      <w:pPr>
        <w:pStyle w:val="normal0"/>
        <w:spacing w:after="0"/>
        <w:jc w:val="right"/>
      </w:pPr>
      <w:bookmarkStart w:id="0" w:name="_GoBack"/>
      <w:bookmarkEnd w:id="0"/>
      <w:r>
        <w:rPr>
          <w:rStyle w:val="defaultparagraphfont"/>
        </w:rPr>
        <w:t>     PRIJEDLOG</w:t>
      </w:r>
      <w:r>
        <w:t xml:space="preserve"> </w:t>
      </w:r>
    </w:p>
    <w:p w:rsidR="00000000" w:rsidRDefault="001E681C">
      <w:pPr>
        <w:pStyle w:val="normal-000000"/>
        <w:spacing w:after="0"/>
      </w:pPr>
      <w:r>
        <w:rPr>
          <w:rStyle w:val="000001"/>
        </w:rPr>
        <w:t> </w:t>
      </w:r>
      <w:r>
        <w:t xml:space="preserve"> </w:t>
      </w:r>
    </w:p>
    <w:p w:rsidR="00000000" w:rsidRDefault="001E681C">
      <w:pPr>
        <w:pStyle w:val="normal-000002"/>
        <w:spacing w:after="0"/>
      </w:pPr>
      <w:r>
        <w:rPr>
          <w:rStyle w:val="defaultparagraphfont"/>
        </w:rPr>
        <w:t xml:space="preserve">Na temelju </w:t>
      </w:r>
      <w:r>
        <w:rPr>
          <w:rStyle w:val="defaultparagraphfont-000003"/>
        </w:rPr>
        <w:t xml:space="preserve">članka 7. stavka 7. podstavka 1. Zakona o uspostavi institucionalnog okvira za provedbu europskih strukturnih i investicijskih fondova u Republici Hrvatskoj u financijskom razdoblju 2014. – 2020. („Narodne novine“, broj 92/14), Vlada Republike Hrvatske je </w:t>
      </w:r>
      <w:r>
        <w:rPr>
          <w:rStyle w:val="defaultparagraphfont-000003"/>
        </w:rPr>
        <w:t>na sjednici održanoj _____ 2021. godine donijela</w:t>
      </w:r>
      <w:r>
        <w:t xml:space="preserve">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06"/>
        <w:rPr>
          <w:b/>
          <w:bCs/>
          <w:sz w:val="60"/>
          <w:szCs w:val="60"/>
        </w:rPr>
      </w:pPr>
      <w:r>
        <w:rPr>
          <w:rStyle w:val="defaultparagraphfont-000007"/>
        </w:rPr>
        <w:t xml:space="preserve">U R E D B U </w:t>
      </w:r>
    </w:p>
    <w:p w:rsidR="00000000" w:rsidRDefault="001E681C">
      <w:pPr>
        <w:pStyle w:val="normal-000006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06"/>
      </w:pPr>
      <w:r>
        <w:rPr>
          <w:rStyle w:val="defaultparagraphfont-000007"/>
        </w:rPr>
        <w:t>o izmjenama Uredbe o tijelima u sustavima upravljanja i kontrole korištenja Europskog socijalnog fonda, Europskog fonda za regionalni razvoj i Kohezijskog fonda, u vezi s ciljem »Ulaganje</w:t>
      </w:r>
      <w:r>
        <w:rPr>
          <w:rStyle w:val="defaultparagraphfont-000007"/>
        </w:rPr>
        <w:t xml:space="preserve"> za rast i radna mjesta«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aslov1"/>
        <w:spacing w:before="0" w:after="0"/>
        <w:jc w:val="center"/>
        <w:rPr>
          <w:rFonts w:eastAsia="Times New Roman"/>
        </w:rPr>
      </w:pPr>
      <w:r>
        <w:rPr>
          <w:rStyle w:val="defaultparagraphfont-000009"/>
          <w:rFonts w:eastAsia="Times New Roman"/>
          <w:b w:val="0"/>
          <w:bCs w:val="0"/>
        </w:rPr>
        <w:t>Članak 1.</w:t>
      </w:r>
      <w:r>
        <w:rPr>
          <w:rFonts w:eastAsia="Times New Roman"/>
        </w:rP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defaultparagraphfont"/>
        </w:rPr>
        <w:t>U Uredbi o tijelima u sustavima upravljanja i kontrole korištenja Europskog socijalnog fonda, Europskog fonda za regionalni razvoj i Kohezijskog fonda, u vezi s ciljem „Ulaganje za rast i radna mjesta“ („Narodne n</w:t>
      </w:r>
      <w:r>
        <w:rPr>
          <w:rStyle w:val="defaultparagraphfont"/>
        </w:rPr>
        <w:t>ovine“, br. 107/14, 23/15, 129/15, 15/17 i 18/17-ispravak) u članku 3. stavku 1. riječi: „Središnje tijelo državne uprave“ zamjenjuju se riječju: „Ministarstvo“.</w:t>
      </w:r>
      <w: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defaultparagraphfont"/>
        </w:rPr>
        <w:t>U stavku 3. riječi: „Središnje tijelo državne uprave“ zamjenjuju se riječju: „Ministarstvo“.</w:t>
      </w:r>
      <w: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000001"/>
        </w:rPr>
        <w:t> </w:t>
      </w:r>
      <w:r>
        <w:t xml:space="preserve"> </w:t>
      </w:r>
    </w:p>
    <w:p w:rsidR="00000000" w:rsidRDefault="001E681C">
      <w:pPr>
        <w:pStyle w:val="Naslov1"/>
        <w:spacing w:before="0" w:after="0"/>
        <w:jc w:val="center"/>
        <w:rPr>
          <w:rFonts w:eastAsia="Times New Roman"/>
        </w:rPr>
      </w:pPr>
      <w:r>
        <w:rPr>
          <w:rStyle w:val="defaultparagraphfont"/>
          <w:rFonts w:eastAsia="Times New Roman"/>
          <w:b w:val="0"/>
          <w:bCs w:val="0"/>
        </w:rPr>
        <w:t>Članak 2.</w:t>
      </w:r>
      <w:r>
        <w:rPr>
          <w:rFonts w:eastAsia="Times New Roman"/>
        </w:rP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defaultparagraphfont"/>
        </w:rPr>
        <w:t>U članku 5. stavku 1. riječi: „Središnje tijelo državne uprave“ zamjenjuju se riječju: „Ministarstvo“.</w:t>
      </w:r>
      <w: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defaultparagraphfont"/>
        </w:rPr>
        <w:t>U stavku 2. riječi: „Središnje tijelo državne uprave nadležno za poslove rada i mirovinskoga sustava“ zamjenjuju se riječima: „Ministarst</w:t>
      </w:r>
      <w:r>
        <w:rPr>
          <w:rStyle w:val="defaultparagraphfont"/>
        </w:rPr>
        <w:t>vo nadležno za poslove rada, mirovinskoga sustava, obitelji i socijalne politike“.</w:t>
      </w:r>
      <w: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000001"/>
        </w:rPr>
        <w:t> </w:t>
      </w:r>
      <w:r>
        <w:t xml:space="preserve"> </w:t>
      </w:r>
    </w:p>
    <w:p w:rsidR="00000000" w:rsidRDefault="001E681C">
      <w:pPr>
        <w:pStyle w:val="Naslov1"/>
        <w:spacing w:before="0" w:after="0"/>
        <w:jc w:val="center"/>
        <w:rPr>
          <w:rFonts w:eastAsia="Times New Roman"/>
        </w:rPr>
      </w:pPr>
      <w:r>
        <w:rPr>
          <w:rStyle w:val="defaultparagraphfont-000003"/>
          <w:rFonts w:eastAsia="Times New Roman"/>
          <w:b w:val="0"/>
          <w:bCs w:val="0"/>
        </w:rPr>
        <w:t>Članak 3.</w:t>
      </w:r>
      <w:r>
        <w:rPr>
          <w:rFonts w:eastAsia="Times New Roman"/>
        </w:rPr>
        <w:t xml:space="preserve"> </w:t>
      </w:r>
    </w:p>
    <w:p w:rsidR="00000000" w:rsidRDefault="001E681C">
      <w:pPr>
        <w:pStyle w:val="normal-000011"/>
        <w:spacing w:after="0"/>
      </w:pPr>
      <w:r>
        <w:rPr>
          <w:rStyle w:val="defaultparagraphfont-000009"/>
        </w:rPr>
        <w:t>Prilog – Prikaz Posredničkih tijela nadležnih za provedbu izabranih investicijskih prioriteta, po Operativnom programu, Prikaz 1 Operativni program „Konkurent</w:t>
      </w:r>
      <w:r>
        <w:rPr>
          <w:rStyle w:val="defaultparagraphfont-000009"/>
        </w:rPr>
        <w:t>nost i kohezija“ i Prikaz 2 Operativni program „Učinkoviti ljudski potencijali“, koji je sastavni dio Uredbe o tijelima u sustavima upravljanja i kontrole korištenja Europskog socijalnog fonda, Europskog fonda za regionalni razvoj i Kohezijskog fonda, u ve</w:t>
      </w:r>
      <w:r>
        <w:rPr>
          <w:rStyle w:val="defaultparagraphfont-000009"/>
        </w:rPr>
        <w:t>zi s ciljem „Ulaganje za rast i radna mjesta“ („Narodne novine“, br. 107/14, 23/15, 129/15, 15/17 i 18/17-ispravak), zamjenjuje se novim Prilogom – Prikaz Posredničkih tijela nadležnih za provedbu izabranih investicijskih prioriteta, po Operativnom program</w:t>
      </w:r>
      <w:r>
        <w:rPr>
          <w:rStyle w:val="defaultparagraphfont-000009"/>
        </w:rPr>
        <w:t>u, Prikazom 1 Operativni program „Konkurentnost i kohezija“ i Prikazom 2 Operativni program „Učinkoviti ljudski potencijali“, koji je sastavni dio ove Uredbe.</w:t>
      </w:r>
      <w:r>
        <w:t xml:space="preserve"> </w:t>
      </w:r>
    </w:p>
    <w:p w:rsidR="00000000" w:rsidRDefault="001E681C">
      <w:pPr>
        <w:pStyle w:val="Naslov1"/>
        <w:spacing w:before="0" w:after="0"/>
        <w:jc w:val="center"/>
        <w:rPr>
          <w:rFonts w:eastAsia="Times New Roman"/>
        </w:rPr>
      </w:pPr>
      <w:r>
        <w:rPr>
          <w:rStyle w:val="defaultparagraphfont-000009"/>
          <w:rFonts w:eastAsia="Times New Roman"/>
          <w:b w:val="0"/>
          <w:bCs w:val="0"/>
        </w:rPr>
        <w:t>Članak 4.</w:t>
      </w:r>
      <w:r>
        <w:rPr>
          <w:rFonts w:eastAsia="Times New Roman"/>
        </w:rPr>
        <w:t xml:space="preserve"> </w:t>
      </w:r>
    </w:p>
    <w:p w:rsidR="00000000" w:rsidRDefault="001E681C">
      <w:pPr>
        <w:pStyle w:val="normal-000014"/>
      </w:pPr>
      <w:r>
        <w:rPr>
          <w:rStyle w:val="defaultparagraphfont-000003"/>
        </w:rPr>
        <w:lastRenderedPageBreak/>
        <w:t>Ova Uredba stupa na snagu osmoga dana od dana objave u »Narodnim novinama«.</w:t>
      </w:r>
      <w:r>
        <w:t xml:space="preserve">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04"/>
      </w:pPr>
      <w:r>
        <w:rPr>
          <w:rStyle w:val="defaultparagraphfont-000009"/>
        </w:rPr>
        <w:t>Kl</w:t>
      </w:r>
      <w:r>
        <w:rPr>
          <w:rStyle w:val="defaultparagraphfont-000009"/>
        </w:rPr>
        <w:t xml:space="preserve">asa: </w:t>
      </w:r>
    </w:p>
    <w:p w:rsidR="00000000" w:rsidRDefault="001E681C">
      <w:pPr>
        <w:pStyle w:val="normal-000004"/>
      </w:pPr>
      <w:proofErr w:type="spellStart"/>
      <w:r>
        <w:rPr>
          <w:rStyle w:val="defaultparagraphfont-000009"/>
        </w:rPr>
        <w:t>Urbroj</w:t>
      </w:r>
      <w:proofErr w:type="spellEnd"/>
      <w:r>
        <w:rPr>
          <w:rStyle w:val="defaultparagraphfont-000009"/>
        </w:rPr>
        <w:t xml:space="preserve">: </w:t>
      </w:r>
    </w:p>
    <w:p w:rsidR="00000000" w:rsidRDefault="001E681C">
      <w:pPr>
        <w:pStyle w:val="normal-000004"/>
      </w:pPr>
      <w:r>
        <w:rPr>
          <w:rStyle w:val="defaultparagraphfont-000009"/>
        </w:rPr>
        <w:t>Zagreb,</w:t>
      </w:r>
      <w:r>
        <w:t xml:space="preserve"> </w:t>
      </w:r>
    </w:p>
    <w:p w:rsidR="00000000" w:rsidRDefault="001E681C">
      <w:pPr>
        <w:pStyle w:val="normal-000004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ormal-000015"/>
      </w:pPr>
      <w:r>
        <w:rPr>
          <w:rStyle w:val="defaultparagraphfont-000009"/>
        </w:rPr>
        <w:t>Predsjednik</w:t>
      </w:r>
      <w:r>
        <w:t xml:space="preserve"> </w:t>
      </w:r>
    </w:p>
    <w:p w:rsidR="00000000" w:rsidRDefault="001E681C">
      <w:pPr>
        <w:pStyle w:val="normal-000016"/>
        <w:spacing w:before="0" w:after="0"/>
      </w:pPr>
      <w:r>
        <w:rPr>
          <w:rStyle w:val="000005"/>
        </w:rPr>
        <w:t> </w:t>
      </w:r>
      <w:r>
        <w:t xml:space="preserve"> </w:t>
      </w:r>
    </w:p>
    <w:p w:rsidR="00000000" w:rsidRDefault="001E681C">
      <w:pPr>
        <w:pStyle w:val="Naslov1"/>
        <w:spacing w:before="0" w:after="0"/>
        <w:jc w:val="center"/>
        <w:rPr>
          <w:rFonts w:eastAsia="Times New Roman"/>
        </w:rPr>
      </w:pPr>
      <w:r>
        <w:rPr>
          <w:rStyle w:val="defaultparagraphfont-000009"/>
          <w:rFonts w:eastAsia="Times New Roman"/>
          <w:b w:val="0"/>
          <w:bCs w:val="0"/>
        </w:rPr>
        <w:t>PRILOG</w:t>
      </w:r>
      <w:r>
        <w:rPr>
          <w:rFonts w:eastAsia="Times New Roman"/>
        </w:rPr>
        <w:t xml:space="preserve"> </w:t>
      </w:r>
    </w:p>
    <w:p w:rsidR="00000000" w:rsidRDefault="001E681C">
      <w:pPr>
        <w:pStyle w:val="normal-000016"/>
        <w:spacing w:before="0" w:after="0"/>
      </w:pPr>
      <w:r>
        <w:rPr>
          <w:rStyle w:val="defaultparagraphfont-000009"/>
        </w:rPr>
        <w:t>PRIKAZ POSREDNIČKIH TIJELA NADLEŽNIH ZA PROVEDBU IZABRANIH INVESTICIJSKIH PRIORITETA, PO OPERATIVNOM PROGRAMU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34"/>
        <w:gridCol w:w="1423"/>
        <w:gridCol w:w="520"/>
        <w:gridCol w:w="520"/>
        <w:gridCol w:w="718"/>
        <w:gridCol w:w="995"/>
        <w:gridCol w:w="739"/>
        <w:gridCol w:w="624"/>
        <w:gridCol w:w="1179"/>
        <w:gridCol w:w="1244"/>
        <w:gridCol w:w="35"/>
      </w:tblGrid>
      <w:tr w:rsidR="00000000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Prikaz 1</w:t>
            </w:r>
            <w:r>
              <w:br/>
            </w:r>
            <w:r>
              <w:rPr>
                <w:rStyle w:val="defaultparagraphfont-000020"/>
              </w:rPr>
              <w:t>Operativni program »Konkurentnost i kohezija«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Prioritetna 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Izabrani investicijski prioritet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Oznaka specifičnog cilja (OSC)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Naziv specifičnog cilja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Posredničko tijelo razine 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Posredničko tijelo razine 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Posredničko tijelo integriranih teritorijalnih ulaganja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1. Jačanje gospodarstva primjenom istraživanja i inovacija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infrastrukture i kapaciteta za istraživanje i inovacije (I&amp;I) s ciljem razvijanja uspješnosti I&amp;I te promoviranje centara za</w:t>
            </w:r>
            <w:r>
              <w:rPr>
                <w:rStyle w:val="defaultparagraphfont-000020"/>
              </w:rPr>
              <w:t xml:space="preserve"> kompetencije, posebno onih od europskog interesa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Povećana sposobnost sektora istraživanja i razvoja (IR) za obavljanje istraživanja vrhunske kvalitete i zadovoljavanje potreba gospodarstva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znanosti i obrazovanja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Središnja agencija </w:t>
            </w:r>
            <w:r>
              <w:rPr>
                <w:rStyle w:val="defaultparagraphfont-000020"/>
              </w:rPr>
              <w:t>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Promicanje poslovnih ulaganja u inovacijama i istraživanjima te razvoj veza i sinergija između poduzeća, IR centara i visokog obrazovanja, </w:t>
            </w:r>
            <w:r>
              <w:rPr>
                <w:rStyle w:val="defaultparagraphfont-000020"/>
              </w:rPr>
              <w:lastRenderedPageBreak/>
              <w:t>osobito razvoja proizvoda i usluga, tehnološko povezivanje, socijalna inovacija, ekološka inovacija, kulturna i kreat</w:t>
            </w:r>
            <w:r>
              <w:rPr>
                <w:rStyle w:val="defaultparagraphfont-000020"/>
              </w:rPr>
              <w:t xml:space="preserve">ivna industrija, usluge javnog servisa, zahtjevi za poticajima, umrežavanje, klasteri i otvorena inovacija kroz pametnu specijalizaciju, tehnološko jačanje i primijenjeno istraživanje, pilot linije, pred proizvodna provjera valjanosti, napredne proizvodne </w:t>
            </w:r>
            <w:r>
              <w:rPr>
                <w:rStyle w:val="defaultparagraphfont-000020"/>
              </w:rPr>
              <w:t>mogućnosti i početne proizvodnje, posebno u Ključnim tehnologijama koje potiču razvoj i inovacije i širenje tehnologija za opću namjenu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1b1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Novi proizvodi i usluge kao rezultat djelatnosti istraživanja, razvoja i inovacija (IRI)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30"/>
              </w:rPr>
              <w:t>Ministarstvo regionaln</w:t>
            </w:r>
            <w:r>
              <w:rPr>
                <w:rStyle w:val="defaultparagraphfont-000030"/>
              </w:rPr>
              <w:t xml:space="preserve">oga razvoja i fondova Europske unije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31"/>
              <w:spacing w:after="0"/>
            </w:pPr>
            <w:r>
              <w:rPr>
                <w:rStyle w:val="000029"/>
              </w:rPr>
              <w:lastRenderedPageBreak/>
              <w:t> </w:t>
            </w:r>
            <w:r>
              <w:t xml:space="preserve"> </w:t>
            </w:r>
          </w:p>
          <w:p w:rsidR="00000000" w:rsidRDefault="001E681C">
            <w:pPr>
              <w:pStyle w:val="normal-000031"/>
              <w:spacing w:after="0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Hrvatska agencija za malo gospodarstvo, inovacije i investicije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1b2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djelatnosti istraživanja, razvoja i inovacija (IRI) poslovnog sektora kr</w:t>
            </w:r>
            <w:r>
              <w:rPr>
                <w:rStyle w:val="defaultparagraphfont-000020"/>
              </w:rPr>
              <w:t>oz stvaranje povoljnog inovacijskog okruženja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2. Korištenje informacijske i komunikacijs</w:t>
            </w:r>
            <w:r>
              <w:rPr>
                <w:rStyle w:val="defaultparagraphfont-000020"/>
              </w:rPr>
              <w:lastRenderedPageBreak/>
              <w:t>ke tehnologije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Proširenje dostupnosti širokopojasnog pristupa i </w:t>
            </w:r>
            <w:r>
              <w:rPr>
                <w:rStyle w:val="defaultparagraphfont-000020"/>
              </w:rPr>
              <w:lastRenderedPageBreak/>
              <w:t xml:space="preserve">izgradnja mreža velikih brzina te podrška usvajanju novih </w:t>
            </w:r>
            <w:r>
              <w:rPr>
                <w:rStyle w:val="defaultparagraphfont-000020"/>
              </w:rPr>
              <w:t>tehnologija i mreža za digitalno gospodarstvo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2a1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Razvoj infrastrukture širokopojasne mreže sljedeće </w:t>
            </w:r>
            <w:r>
              <w:rPr>
                <w:rStyle w:val="defaultparagraphfont-000020"/>
              </w:rPr>
              <w:lastRenderedPageBreak/>
              <w:t>generacije u područjima bez infrastrukture širokopojasne mreže sljedeće generacije i bez dovoljno komercijalnog interesa, za maksimalno povećanje socija</w:t>
            </w:r>
            <w:r>
              <w:rPr>
                <w:rStyle w:val="defaultparagraphfont-000020"/>
              </w:rPr>
              <w:t>lne i ekonomske dobrobiti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Ministarstvo regionalnoga razvoja i fondova </w:t>
            </w:r>
            <w:r>
              <w:rPr>
                <w:rStyle w:val="defaultparagraphfont-000020"/>
              </w:rPr>
              <w:lastRenderedPageBreak/>
              <w:t>Europske unije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Središnja agencija za financiranje i </w:t>
            </w:r>
            <w:r>
              <w:rPr>
                <w:rStyle w:val="defaultparagraphfont-000020"/>
              </w:rPr>
              <w:lastRenderedPageBreak/>
              <w:t>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lastRenderedPageBreak/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aplikacija informacijskih i komunikacijskih tehnologija za e–vladu,</w:t>
            </w:r>
            <w:r>
              <w:rPr>
                <w:rStyle w:val="defaultparagraphfont-000020"/>
              </w:rPr>
              <w:t xml:space="preserve"> e–učenje, e–uključenost, e–kulturu i e–zdravlje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2c1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korištenja IKT-a u komunikaciji između građana i javne uprave putem uspostave IKT koordinacijske strukture i softverskih rješenja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3. Poslovna konkurentnost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Promicanje poduzetništva, posebno olakšavajući ekonomsko iskorištavanje novih</w:t>
            </w:r>
            <w:r>
              <w:rPr>
                <w:rStyle w:val="defaultparagraphfont-000020"/>
              </w:rPr>
              <w:t xml:space="preserve"> ideja i poticanje stvaranja novih poduzeća, uključujući putem poslovnih inkubatora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Bolji pristup financiranju za male i srednje poduzetnike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 i održivog razvoja  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Hrvatska agencija za malo gospodarstvo, inovacije i inve</w:t>
            </w:r>
            <w:r>
              <w:rPr>
                <w:rStyle w:val="defaultparagraphfont-000020"/>
              </w:rPr>
              <w:t>sticije (osim za specifični cilj 3a1 koji se provodi putem financijskih instrumenata iz Glave IV. Uredbe (EU) br. 1303/2013)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Središnja agencija za financiranj</w:t>
            </w:r>
            <w:r>
              <w:rPr>
                <w:rStyle w:val="defaultparagraphfont-000020"/>
              </w:rPr>
              <w:lastRenderedPageBreak/>
              <w:t>e i ugovaranje programa i projekata Europske unije (za specifični cilj 3a2, u dijelu u kojem se p</w:t>
            </w:r>
            <w:r>
              <w:rPr>
                <w:rStyle w:val="defaultparagraphfont-000020"/>
              </w:rPr>
              <w:t>rovodi kao integrirano teritorijalno ulaganje –isključivo Središnja agencija za financiranje i ugovaranje programa i projekata Europske unije)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lastRenderedPageBreak/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3a2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Omogućavanje povoljnog okruženja za razvoj poduzetništva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Grad središte urbanog područja u kojem se provodi integrirano teritorijalno ulaganje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Podupiranje kapaciteta MSP-ova za rast na regionalnom, nacionalnom i međunarodnom tržištu te angažiranos</w:t>
            </w:r>
            <w:r>
              <w:rPr>
                <w:rStyle w:val="defaultparagraphfont-000020"/>
              </w:rPr>
              <w:t xml:space="preserve">t </w:t>
            </w:r>
            <w:r>
              <w:rPr>
                <w:rStyle w:val="defaultparagraphfont-000020"/>
              </w:rPr>
              <w:lastRenderedPageBreak/>
              <w:t>u inovacijskim procesima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3d1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Poboljšani razvoj i rast malih i srednjih poduzetnika na domaćim i stranim tržištima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3d2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Poboljšana inovativnost malih i srednjih </w:t>
            </w:r>
            <w:r>
              <w:rPr>
                <w:rStyle w:val="defaultparagraphfont-000020"/>
              </w:rPr>
              <w:lastRenderedPageBreak/>
              <w:t>poduzetnika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4. Promicanje energetske učinkovitosti i obnovljivih izvora energije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Promicanje energetske učinkovitosti i korištenja obnovljivih izvora energije u poduzećima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4b1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energetske učinkovitosti i korištenja OIE u proizvodnim industrijama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</w:t>
            </w:r>
            <w:r>
              <w:rPr>
                <w:rStyle w:val="defaultparagraphfont-000020"/>
              </w:rPr>
              <w:t>rstvo gospodarstva i održivog razvoja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Fond za zaštitu okoliša i energetsku učinkovitost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4b2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energetske učinkovitosti i korištenja OIE u privatnom uslužnom sektoru (turizam i trgovina)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Podupiranje energetske učinkovitosti, pametnog upravljanja energijom i korištenja OIE u javnoj infrastrukturi, uključujući javne zgrade, </w:t>
            </w:r>
            <w:r>
              <w:rPr>
                <w:rStyle w:val="defaultparagraphfont-000020"/>
              </w:rPr>
              <w:lastRenderedPageBreak/>
              <w:t>i u sta</w:t>
            </w:r>
            <w:r>
              <w:rPr>
                <w:rStyle w:val="defaultparagraphfont-000020"/>
              </w:rPr>
              <w:t>mbenom sektoru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4c1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Smanjenje potrošnje energije u zgradama javnog sektora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prostornoga uređenja, graditeljstva i državne imovine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4c2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Smanjenje potrošnje energije u višestambenim zgradama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4c3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</w:t>
            </w:r>
            <w:r>
              <w:rPr>
                <w:rStyle w:val="defaultparagraphfont-000020"/>
              </w:rPr>
              <w:lastRenderedPageBreak/>
              <w:t xml:space="preserve">učinkovitosti sustava </w:t>
            </w:r>
            <w:proofErr w:type="spellStart"/>
            <w:r>
              <w:rPr>
                <w:rStyle w:val="defaultparagraphfont-000020"/>
              </w:rPr>
              <w:t>toplinarstva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Ministarstvo </w:t>
            </w:r>
            <w:r>
              <w:rPr>
                <w:rStyle w:val="defaultparagraphfont-000020"/>
              </w:rPr>
              <w:lastRenderedPageBreak/>
              <w:t>gospodarstva i održivog razvoja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lastRenderedPageBreak/>
              <w:t xml:space="preserve">Središnja </w:t>
            </w:r>
            <w:r>
              <w:rPr>
                <w:rStyle w:val="defaultparagraphfont-000020"/>
              </w:rPr>
              <w:lastRenderedPageBreak/>
              <w:t>agencija za financiranje i ugovaranje programa i projekata Europske unije (za spe</w:t>
            </w:r>
            <w:r>
              <w:rPr>
                <w:rStyle w:val="defaultparagraphfont-000020"/>
              </w:rPr>
              <w:t>cifični cilj 4c3 koji se provodi kao integrirano teritorijalno ulaganje)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Fond za zaštitu okoliša i energetsku učinkovitost (za specifične ciljeve 4c4 i 4d1)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Grad </w:t>
            </w:r>
            <w:r>
              <w:rPr>
                <w:rStyle w:val="defaultparagraphfont-000020"/>
              </w:rPr>
              <w:lastRenderedPageBreak/>
              <w:t>središte urbanog područja u kojem se provodi integrirano teritorijalno ulaganje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4c4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učinkovitosti sustava javne rasvjete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Razvoj i provedba pametnih sustava distribucije koji djeluju pri niskim i srednjim razinama napona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4d1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Pilot-projekt uvođenja naprednih mreža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5. Klimatske promjene i upravljanje rizicima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Podupiranje ulaganja za prilagodbu na klimatske promjene, uključujući pristupe temeljene na ekosustavu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5a1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praćenja, predviđanja i planiranja mjera prilagodbe klimatskim promjenama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</w:t>
            </w:r>
            <w:r>
              <w:rPr>
                <w:rStyle w:val="defaultparagraphfont-000020"/>
              </w:rPr>
              <w:t>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Fond za zaštitu okoliša i energetsku učinkovitost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Promicanje ulaganja koja se odnose na posebne rizike, osiguranje otpornosti na katastrofe i razvoj sustava za upravljanje katastrofama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5b1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sustava upra</w:t>
            </w:r>
            <w:r>
              <w:rPr>
                <w:rStyle w:val="defaultparagraphfont-000020"/>
              </w:rPr>
              <w:t>vljanja katastrofama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Hrvatske vode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6. Zaštita okoliša i održivost resursa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Očuvanje, zaštita, promicanje i razvoj </w:t>
            </w:r>
            <w:r>
              <w:rPr>
                <w:rStyle w:val="defaultparagraphfont-000020"/>
              </w:rPr>
              <w:lastRenderedPageBreak/>
              <w:t>prirodne i kulturne baštine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6c1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zapošljavanja i turističkih izdataka kroz </w:t>
            </w:r>
            <w:r>
              <w:rPr>
                <w:rStyle w:val="defaultparagraphfont-000020"/>
              </w:rPr>
              <w:lastRenderedPageBreak/>
              <w:t>unaprjeđenje kulturne baštine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Ministarstvo regionalnoga razvoja i fondova </w:t>
            </w:r>
            <w:r>
              <w:rPr>
                <w:rStyle w:val="defaultparagraphfont-000020"/>
              </w:rPr>
              <w:lastRenderedPageBreak/>
              <w:t>Europske unije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Središnja agencija za financiranje i </w:t>
            </w:r>
            <w:r>
              <w:rPr>
                <w:rStyle w:val="defaultparagraphfont-000020"/>
              </w:rPr>
              <w:lastRenderedPageBreak/>
              <w:t>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 xml:space="preserve">Grad središte urbanog područja u </w:t>
            </w:r>
            <w:r>
              <w:rPr>
                <w:rStyle w:val="defaultparagraphfont-000020"/>
              </w:rPr>
              <w:lastRenderedPageBreak/>
              <w:t>kojem se provodi integrirano teritorijalno ulaganje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6c2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atraktivnosti, edukativnog kapaciteta i održivog upravljanja odredištima prirodne baštine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Aktivnosti kojima se poboljšava urbani okoliš, revitalizacija gradova, obnova i dekontaminacija nekadašnjeg industrijskog zemljišta (uključujući prenamijenjena područja), smanjenje zagađenja zraka i promicanje mjera za smanjenje buke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6e1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sus</w:t>
            </w:r>
            <w:r>
              <w:rPr>
                <w:rStyle w:val="defaultparagraphfont-000020"/>
              </w:rPr>
              <w:t>tava upravljanja i praćenja kvalitete zraka sukladno Uredbi 2008/50/EZ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Fond za zaštitu okoliša i energetsku učinkovitost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6e2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Obnova </w:t>
            </w:r>
            <w:proofErr w:type="spellStart"/>
            <w:r>
              <w:rPr>
                <w:rStyle w:val="defaultparagraphfont-000020"/>
              </w:rPr>
              <w:t>brownfield</w:t>
            </w:r>
            <w:proofErr w:type="spellEnd"/>
            <w:r>
              <w:rPr>
                <w:rStyle w:val="defaultparagraphfont-000020"/>
              </w:rPr>
              <w:t xml:space="preserve"> lokacija (bivša vojna i/ili industrijska područja) un</w:t>
            </w:r>
            <w:r>
              <w:rPr>
                <w:rStyle w:val="defaultparagraphfont-000020"/>
              </w:rPr>
              <w:t>utar ITU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Grad središte urbanog područja u kojem se provodi integrirano teritorijalno ulaganje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Ulaganje u sektor otpada kako bi se ispunili zahtjevi pravne stečevine Unije u području okoliša i zadovoljile potrebe koje su utvrdile države članice za ulaganjem </w:t>
            </w:r>
            <w:r>
              <w:rPr>
                <w:rStyle w:val="defaultparagraphfont-000020"/>
              </w:rPr>
              <w:lastRenderedPageBreak/>
              <w:t>koj</w:t>
            </w:r>
            <w:r>
              <w:rPr>
                <w:rStyle w:val="defaultparagraphfont-000020"/>
              </w:rPr>
              <w:t>e nadilazi te zahtjeve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6i1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Smanjena količina otpada koji se odlaže na odlagališta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Fond za zaštitu okoliša i energetsku učinkovitost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Ulaganje u vodni sektor kako bi se ispunili zahtjevi pravne steč</w:t>
            </w:r>
            <w:r>
              <w:rPr>
                <w:rStyle w:val="defaultparagraphfont-000020"/>
              </w:rPr>
              <w:t>evine Unije u području okoliša i zadovoljile potrebe koje su utvrdile države članice za ulaganjem koje nadilazi te zahtjeve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6ii1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Unaprjeđenje javnog vodoopskrbnog sustava sa svrhom osiguranja kvalitete i sigurnosti usluga opskrbe pitkom vodom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</w:t>
            </w:r>
            <w:r>
              <w:rPr>
                <w:rStyle w:val="defaultparagraphfont-000020"/>
              </w:rPr>
              <w:t>stvo gospodarstva i održivog razvoja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Hrvatske vode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6ii2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Razvoj sustava prikupljanja i obrade otpadnih voda s ciljem doprinosa poboljšanju stanja voda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Zaštita i obnova biološke raznolikosti i tla te promicanje eko usluga, uključujući NATURA 2000 i »zelenu« infrastrukturu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6iii1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Poboljšano znanje o stanju bioraznolikosti kao temelja za učinkovito praćenje i upravljanje bioraznolikošću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Fond za zaštitu okoliša i energetsku učinkovitost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6iii2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Uspostava okvira za održivo upravljanje bioraznolikošću (primarno Natura 2000)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6iii3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Razminiranje, obnova i zaštita šuma i šumskog zemljišta u zaštićenim i Natura 2000 područjima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7. Povezanost i mobilnost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Podupiranje </w:t>
            </w:r>
            <w:proofErr w:type="spellStart"/>
            <w:r>
              <w:rPr>
                <w:rStyle w:val="defaultparagraphfont-000020"/>
              </w:rPr>
              <w:t>multimodalnog</w:t>
            </w:r>
            <w:proofErr w:type="spellEnd"/>
            <w:r>
              <w:rPr>
                <w:rStyle w:val="defaultparagraphfont-000020"/>
              </w:rPr>
              <w:t xml:space="preserve"> jedinstvenog europskog prometnog prostora ulaganjem u TEN–T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Unaprjeđenje cestovne mreže TEN–T i pristupa cestovnoj mreži TEN–T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mora, prometa i infrastrukture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Središnja agencija za financiranje i ugovaranje </w:t>
            </w:r>
            <w:r>
              <w:rPr>
                <w:rStyle w:val="defaultparagraphfont-000020"/>
              </w:rPr>
              <w:t>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Poboljšavanje regionalne mobilnosti povezivanjem sekundarnih i tercijarnih čvorišta s infrastrukturom TEN–T–a, uključujući </w:t>
            </w:r>
            <w:proofErr w:type="spellStart"/>
            <w:r>
              <w:rPr>
                <w:rStyle w:val="defaultparagraphfont-000020"/>
              </w:rPr>
              <w:t>multimodalna</w:t>
            </w:r>
            <w:proofErr w:type="spellEnd"/>
            <w:r>
              <w:rPr>
                <w:rStyle w:val="defaultparagraphfont-000020"/>
              </w:rPr>
              <w:t xml:space="preserve"> čvorišta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7b1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cestovne sigurnosti u dijelovima s visokom razinom mješovitog prometa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Podupiranje </w:t>
            </w:r>
            <w:proofErr w:type="spellStart"/>
            <w:r>
              <w:rPr>
                <w:rStyle w:val="defaultparagraphfont-000020"/>
              </w:rPr>
              <w:t>multimodalnog</w:t>
            </w:r>
            <w:proofErr w:type="spellEnd"/>
            <w:r>
              <w:rPr>
                <w:rStyle w:val="defaultparagraphfont-000020"/>
              </w:rPr>
              <w:t xml:space="preserve"> jedinstvenog europskog prometnog prostora ulaganjem u TEN–T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teretnog prometa na unutarnjim vodnim putovima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Razvoj i unapređenje prometnih sustava prihvatljivih za okoliš, i prometni sustavi s niskim emisijama CO</w:t>
            </w:r>
            <w:r>
              <w:t xml:space="preserve"> </w:t>
            </w:r>
            <w:r>
              <w:rPr>
                <w:rStyle w:val="defaultparagraphfont-000020"/>
                <w:vertAlign w:val="subscript"/>
              </w:rPr>
              <w:t>2</w:t>
            </w:r>
            <w:r>
              <w:rPr>
                <w:rStyle w:val="defaultparagraphfont-000020"/>
              </w:rPr>
              <w:t xml:space="preserve"> , uključujući unutarnje plovne putove i pomorski prijevoz, luke, </w:t>
            </w:r>
            <w:proofErr w:type="spellStart"/>
            <w:r>
              <w:rPr>
                <w:rStyle w:val="defaultparagraphfont-000020"/>
              </w:rPr>
              <w:t>multimodalne</w:t>
            </w:r>
            <w:proofErr w:type="spellEnd"/>
            <w:r>
              <w:rPr>
                <w:rStyle w:val="defaultparagraphfont-000020"/>
              </w:rPr>
              <w:t xml:space="preserve"> veze i aerodromsku infrastrukturu, radi promicanja održive regionalne i</w:t>
            </w:r>
            <w:r>
              <w:rPr>
                <w:rStyle w:val="defaultparagraphfont-000020"/>
              </w:rPr>
              <w:t xml:space="preserve"> lokalne mobilnosti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7ii1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dostupnosti naseljenih otoka za njihove stanovnike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7ii2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broja putnika u javnom prijevozu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Grad središte urbanog područja u kojem se provodi integrirano teritorijalno ulaganje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7ii3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dostupnosti Dubrovnika i otoka zrakom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Razvoj i obnova sveobuhvatnih, </w:t>
            </w:r>
            <w:r>
              <w:rPr>
                <w:rStyle w:val="defaultparagraphfont-000020"/>
              </w:rPr>
              <w:lastRenderedPageBreak/>
              <w:t xml:space="preserve">visokokvalitetnih i </w:t>
            </w:r>
            <w:proofErr w:type="spellStart"/>
            <w:r>
              <w:rPr>
                <w:rStyle w:val="defaultparagraphfont-000020"/>
              </w:rPr>
              <w:t>interoperabilnih</w:t>
            </w:r>
            <w:proofErr w:type="spellEnd"/>
            <w:r>
              <w:rPr>
                <w:rStyle w:val="defaultparagraphfont-000020"/>
              </w:rPr>
              <w:t xml:space="preserve"> željezničkih sustava te promicanje mjera za smanjenje buke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7iii1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uporabe i važnosti željezničke </w:t>
            </w:r>
            <w:r>
              <w:rPr>
                <w:rStyle w:val="defaultparagraphfont-000020"/>
              </w:rPr>
              <w:lastRenderedPageBreak/>
              <w:t>mreže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 Socijalno uključivanje i zdravlje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Ulaganje u zdravstvenu i socijalnu infrastrukturu što pridonosi nacionalnom, regionalnom i lokalnom razvoju, smanjujući nejednakosti u smislu zdravstvenog statusa, promičući socijalnu uključenost, kulturne i rekreativne usluge te prelazak s institucijske s</w:t>
            </w:r>
            <w:r>
              <w:rPr>
                <w:rStyle w:val="defaultparagraphfont-000020"/>
              </w:rPr>
              <w:t>krbi na skrb u zajednici</w:t>
            </w:r>
            <w:r>
              <w:t xml:space="preserve"> </w:t>
            </w:r>
          </w:p>
          <w:p w:rsidR="00000000" w:rsidRDefault="001E681C">
            <w:pPr>
              <w:pStyle w:val="normal-000019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19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19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19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pristupa primarnoj i hitnoj zdravstvenoj zaštiti, s fokusom na udaljena i deprivirana područja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</w:t>
            </w:r>
            <w:r>
              <w:rPr>
                <w:rStyle w:val="defaultparagraphfont-000020"/>
              </w:rPr>
              <w:t>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9a2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učinkovitosti i dostupnosti bolničkog liječenja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9a3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Promicanje socijalne uključenosti i smanjenje nejednakosti kroz poboljšani pristup socijalnim uslugama te prelazak s institucionalne skrbi na skrb u zajednici putem poboljšane socijalne infrastrukture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9a4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Provedba pilot aktivnosti koje imaju</w:t>
            </w:r>
            <w:r>
              <w:rPr>
                <w:rStyle w:val="defaultparagraphfont-000020"/>
              </w:rPr>
              <w:t xml:space="preserve"> za cilj promociju socijalne uključenosti i smanjenje siromaštva ratnih veterana i civilnih žrtava Domovinskog </w:t>
            </w:r>
            <w:r>
              <w:rPr>
                <w:rStyle w:val="defaultparagraphfont-000020"/>
              </w:rPr>
              <w:lastRenderedPageBreak/>
              <w:t>rata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rPr>
          <w:trHeight w:val="199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9a5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kapaciteta sustava za borbu protiv COVID-19 u Republici Hrvatskoj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Pružanje podrške fizičkoj, gospodarskoj i socijalnoj obnovi ugroženih zajednica u urbanim i ruralnim područjima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9b1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Održiva fizička, socijalna i gospodarska regeneraci</w:t>
            </w:r>
            <w:r>
              <w:rPr>
                <w:rStyle w:val="defaultparagraphfont-000020"/>
              </w:rPr>
              <w:t>ja pet depriviranih pilot područja s ciljem smanjenja socijalnih nejednakosti, isključenosti i siromaštva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 Obrazovanje, vještine i cjeloživotno učenje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Ulaganje u obrazovanje, vještine i cjeloživotno učenje kroz razvoj infrastrukture za obrazovanje i osposobljavanje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10a1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Razvoj digitalno zrelih škola koje su spremne za korištenje potencijala informacijsko komunikacijske tehnologije u obrazovanju i razv</w:t>
            </w:r>
            <w:r>
              <w:rPr>
                <w:rStyle w:val="defaultparagraphfont-000020"/>
              </w:rPr>
              <w:t>oju vještina za 21. stoljeća, potrebnih na tržištu rada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10a2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Modernizacija, unaprjeđenje i povećanje infrastrukture studentskog smještaja u visokom obrazovanju s ciljem poboljšanja pristupa visokom obrazovanju te završetak studija za studente u nepovoljnom položaju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10a3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</w:t>
            </w:r>
            <w:r>
              <w:rPr>
                <w:rStyle w:val="defaultparagraphfont-000020"/>
              </w:rPr>
              <w:lastRenderedPageBreak/>
              <w:t>relevantnosti strukov</w:t>
            </w:r>
            <w:r>
              <w:rPr>
                <w:rStyle w:val="defaultparagraphfont-000020"/>
              </w:rPr>
              <w:t xml:space="preserve">nog obrazovanja kroz poboljšanje uvjeta za stjecanje praktičnih vještina u ciljanim sektorima srednjeg strukovnog obrazovanja s ciljem postizanja veće </w:t>
            </w:r>
            <w:proofErr w:type="spellStart"/>
            <w:r>
              <w:rPr>
                <w:rStyle w:val="defaultparagraphfont-000020"/>
              </w:rPr>
              <w:t>zapošljivosti</w:t>
            </w:r>
            <w:proofErr w:type="spellEnd"/>
            <w:r>
              <w:rPr>
                <w:rStyle w:val="defaultparagraphfont-000020"/>
              </w:rPr>
              <w:t xml:space="preserve"> učenika srednjeg strukovnog obrazovanja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 Tehnička pomoć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Nije primjenjivo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TA</w:t>
            </w:r>
            <w:r>
              <w:rPr>
                <w:rStyle w:val="defaultparagraphfont-000020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Osiguravanje odgovarajućih i učinkovitih ljudskih resursa za provedbu operativnih programa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TA2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Podrška učinkovitoj provedbi, praćenju i evaluaciji programa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TA3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Podrška informiranju javnosti i podizanju kapaciteta potencijalnih korisnika za pripremu projekata i njihovu provedbu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11.</w:t>
            </w:r>
            <w:r>
              <w:t xml:space="preserve"> </w:t>
            </w:r>
            <w:r>
              <w:rPr>
                <w:rStyle w:val="defaultparagraphfont-000020"/>
              </w:rPr>
              <w:t xml:space="preserve">Jačanje oporavka od krize u kontekstu pandemije COVID-19 i priprema za zeleni, </w:t>
            </w:r>
            <w:r>
              <w:rPr>
                <w:rStyle w:val="defaultparagraphfont-000020"/>
              </w:rPr>
              <w:lastRenderedPageBreak/>
              <w:t xml:space="preserve">digitalni i otporni oporavak gospodarstva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5"/>
              <w:spacing w:after="0"/>
            </w:pPr>
            <w:r>
              <w:rPr>
                <w:rStyle w:val="000029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Ministarstvo gospodarstva i održivog razvoja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Hrvatska agencija za malo gospodarstvo, inovacije i investicije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12. Sanacija šteta od potresa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5"/>
              <w:spacing w:after="0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Ministarstvo regionalnoga razvoja i fondova Europske unije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Središnja agencija za financiranje i ugovaranje programa i projekata Europske unije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19"/>
            </w:pPr>
            <w:r>
              <w:rPr>
                <w:rStyle w:val="defaultparagraphfont-000020"/>
              </w:rPr>
              <w:t>Prikaz 2</w:t>
            </w:r>
            <w:r>
              <w:br/>
            </w:r>
            <w:r>
              <w:rPr>
                <w:rStyle w:val="defaultparagraphfont-000020"/>
              </w:rPr>
              <w:t>Operativni program »Učinkoviti ljudski potencijali«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Prioritetna os</w:t>
            </w:r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Izabrani investicijski prioritet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Oznaka specifičnog cilja (OSC)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Naziv specifičnog cilja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Posredničko tijelo razine 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Posredničko tijelo razine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1. Visoka </w:t>
            </w:r>
            <w:proofErr w:type="spellStart"/>
            <w:r>
              <w:rPr>
                <w:rStyle w:val="defaultparagraphfont-000020"/>
              </w:rPr>
              <w:t>zapošljivost</w:t>
            </w:r>
            <w:proofErr w:type="spellEnd"/>
            <w:r>
              <w:rPr>
                <w:rStyle w:val="defaultparagraphfont-000020"/>
              </w:rPr>
              <w:t xml:space="preserve"> i mobilnost radne snage</w:t>
            </w:r>
            <w:r>
              <w:t xml:space="preserve">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Pristup zapošljavanju za osobe koje traže posao i neaktivne osobe, uključujući one koji su dugotrajno nezaposleni i one koji su daleko od tržišta rada, kao i provedbom lokalnih </w:t>
            </w:r>
            <w:r>
              <w:rPr>
                <w:rStyle w:val="defaultparagraphfont-000020"/>
              </w:rPr>
              <w:t>inicijativa za zapošljavanje i potpore za mobilnost radne snage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zapošljavanja nezaposlenih osoba, posebice dugotrajno nezaposlenih i osoba čije vještine ne odgovaraju potrebama tržišta rada</w:t>
            </w:r>
            <w:r>
              <w:t xml:space="preserve">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</w:t>
            </w:r>
            <w:r>
              <w:rPr>
                <w:rStyle w:val="defaultparagraphfont-000020"/>
              </w:rPr>
              <w:t>itelji i socijalne politike</w:t>
            </w:r>
            <w: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održivog samozapošljavanja nezaposlenih osoba, posebice žena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8.i.3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Očuvanje radnih mjesta, zadržavanje u zaposlenju radnika koji su proglašeni viškom te jačanje brzog ponovnog zapošljavanja osoba koje su postale nezaposlene nakon što su proglašene viškom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Održiva integracija mladih na tržište rada (ESF), posebno onih koji nisu zaposleni, ne obrazuju se niti osposobljavaju, uključujući mlade koji su izloženi riziku od socijalne isključenosti i mlade iz marginaliziranih zajednica, uključujući provedbom Garanc</w:t>
            </w:r>
            <w:r>
              <w:rPr>
                <w:rStyle w:val="defaultparagraphfont-000020"/>
              </w:rPr>
              <w:t>ije za mlade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8.ii.1 (ESF)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zapošljavanja i integracije dugotrajno nezaposlenih iz NEET skupine na tržište rada i za sve iz NEET skupine od 2019. godine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Hrvatski zavod </w:t>
            </w:r>
            <w:r>
              <w:rPr>
                <w:rStyle w:val="defaultparagraphfont-000020"/>
              </w:rPr>
              <w:t>za zapošljavanje 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Održiva integracija mladih na tržište rada (Inicijativa za zapošljavanje mladih IZM-YEI), posebno onih koji nisu zaposleni, ne obrazuju se niti osposobljavaju, uključujući mlade koji su izloženi riziku od socijalne isključenosti i ml</w:t>
            </w:r>
            <w:r>
              <w:rPr>
                <w:rStyle w:val="defaultparagraphfont-000020"/>
              </w:rPr>
              <w:t>ade iz marginaliziranih zajednica, uključujući provedbom Garancije za mlade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8.ii.1 (YEI)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zapošljavanja i brze integracije NEET skupine kroz Inicijativu za zapošljavanje mladih na tržište rada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rada, mirovinskoga sustava, obitel</w:t>
            </w:r>
            <w:r>
              <w:rPr>
                <w:rStyle w:val="defaultparagraphfont-000020"/>
              </w:rPr>
              <w:t>ji i socijalne politike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znanosti i obrazovanja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Hrvatski zavod za zapošljavanje (i za specifični cilj 8.ii.1, u dijelu koji se provodi kao integrirano teritorijalno ulaganje)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Agencija za strukovno obrazovanje i obrazovanje odraslih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Modernizacija ustanova tržišta rada kao što su javne i privatne slu</w:t>
            </w:r>
            <w:r>
              <w:rPr>
                <w:rStyle w:val="defaultparagraphfont-000020"/>
              </w:rPr>
              <w:t xml:space="preserve">žbe za zapošljavanje te bolja usklađenost s potrebama tržišta rada, uključujući putem djelovanja koja povećavaju transnacionalnu mobilnost radne snage, kao i putem programa mobilnosti, te bolja </w:t>
            </w:r>
            <w:r>
              <w:rPr>
                <w:rStyle w:val="defaultparagraphfont-000020"/>
              </w:rPr>
              <w:lastRenderedPageBreak/>
              <w:t>suradnja institucija i relevantnih dionika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8.vii.1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kapaciteta lokalnih partnerstava za zapošljavanje i povećanje zaposlenosti najranjivijih skupina na lokalnim tržištima rada</w:t>
            </w:r>
            <w:r>
              <w:t xml:space="preserve">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8.vii.2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dostupnosti i kvalitete javno dostupnih </w:t>
            </w:r>
            <w:r>
              <w:rPr>
                <w:rStyle w:val="defaultparagraphfont-000020"/>
              </w:rPr>
              <w:lastRenderedPageBreak/>
              <w:t>informacija i usluga na tržištu rada, uključujući mjere APZ-a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2. Socijalno uključivanje</w:t>
            </w:r>
            <w:r>
              <w:t xml:space="preserve">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Aktivna uključenost, uključujući s ciljem promicanja jednakih mogućnosti te aktivnog sudjelovanja i poboljšanja </w:t>
            </w:r>
            <w:proofErr w:type="spellStart"/>
            <w:r>
              <w:rPr>
                <w:rStyle w:val="defaultparagraphfont-000020"/>
              </w:rPr>
              <w:t>zapošljivosti</w:t>
            </w:r>
            <w:proofErr w:type="spellEnd"/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Borba protiv siromaštva i socijalne isključenosti kroz promociju integracije na tržište rada i socijalne integracije ra</w:t>
            </w:r>
            <w:r>
              <w:rPr>
                <w:rStyle w:val="defaultparagraphfont-000020"/>
              </w:rPr>
              <w:t>njivih skupina, i borba protiv svih oblika diskriminacije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kulture i medija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Hrvatski zavod za zapošljavanje (i za specifični cilj 9.i.1, u dijelu koji se provodi kao in</w:t>
            </w:r>
            <w:r>
              <w:rPr>
                <w:rStyle w:val="defaultparagraphfont-000020"/>
              </w:rPr>
              <w:t>tegrirano teritorijalno ulaganje)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Nacionalna zaklada za razvoj civilnoga društva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Jačanje aktivnog uključivanja kroz implementaciju integriranih projekata za obnovu 5 nerazvijenih pilot područja.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pristupa pristupačn</w:t>
            </w:r>
            <w:r>
              <w:rPr>
                <w:rStyle w:val="defaultparagraphfont-000020"/>
              </w:rPr>
              <w:t>im, održivim i visokokvalitetnim uslugama, uključujući usluge zdravstvene skrbi i socijalne usluge od općeg interesa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9.iv.1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Održivo poboljšanje pristupa zdravstvenoj skrbi u nerazvijenim područjima i za ranjive skupine te promocija zdravlja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</w:t>
            </w:r>
            <w:r>
              <w:rPr>
                <w:rStyle w:val="defaultparagraphfont-000020"/>
              </w:rPr>
              <w:t>stvo zdravstva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9.iv.2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Poboljšanje pristupa visokokvalitetnim socijalnim uslugama, uključujući podršku procesu </w:t>
            </w:r>
            <w:proofErr w:type="spellStart"/>
            <w:r>
              <w:rPr>
                <w:rStyle w:val="defaultparagraphfont-000020"/>
              </w:rPr>
              <w:t>deinstitucionalizacije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 xml:space="preserve">Ministarstvo rada, mirovinskoga sustava, obitelji i socijalne politike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turizma i sporta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Hrvatski zavod za zapošljavanje (i z</w:t>
            </w:r>
            <w:r>
              <w:rPr>
                <w:rStyle w:val="defaultparagraphfont-000020"/>
              </w:rPr>
              <w:t xml:space="preserve">a specifični cilj 9.iv.2, u dijelu koji se provodi kao integrirano </w:t>
            </w:r>
            <w:r>
              <w:rPr>
                <w:rStyle w:val="defaultparagraphfont-000020"/>
              </w:rPr>
              <w:lastRenderedPageBreak/>
              <w:t>teritorijalno ulaganje)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Nacionalna zaklada za razvoj civilnoga društva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Promicanje društvenog poduzetništva i strukovne integracije u društvenim poduzećima te društvene ekonomije i ekon</w:t>
            </w:r>
            <w:r>
              <w:rPr>
                <w:rStyle w:val="defaultparagraphfont-000020"/>
              </w:rPr>
              <w:t>omije solidarnosti radi olakšavanja pristupa zapošljavanju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9.v.1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broja i održivosti društvenih poduzeća i njihovih zaposlenika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Nacionalna zaklada za razvoj civilnoga društva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3. Obrazovanje i cjeloživotno učenje</w:t>
            </w:r>
            <w:r>
              <w:t xml:space="preserve">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kvalitete i učinkovitosti tercijarnog i ekvivalentnog obrazovanja te pristupa njemu radi povećanja sudjelovanja u njemu i njegova stjecanja, posebno za skupine u nepovoljnom položaju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kvalitete, relevantnosti i učinkovit</w:t>
            </w:r>
            <w:r>
              <w:rPr>
                <w:rStyle w:val="defaultparagraphfont-000020"/>
              </w:rPr>
              <w:t>osti visokog obrazovanja</w:t>
            </w:r>
            <w:r>
              <w:t xml:space="preserve">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znanosti i obrazovanja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 (za specifični cilj 10.iii.3, u dijelu koji se provodi kao integrirano teritorijalno ulaganje)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Agencija za strukovno obrazovanje i obrazovanje odraslih (i za specifične ciljeve 10.iii.3 i 10.iv.1, u dijelu koji se provodi kao integrirano teritorijalno ulaganje)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stope stečenog visokog obrazovanja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10.ii.3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uvjeta rada za hrvatske istraživače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Povećanje jednakog pristupa cjeloživotnom učenju za sve dobne skupine u formalnom, neformalnom i </w:t>
            </w:r>
            <w:proofErr w:type="spellStart"/>
            <w:r>
              <w:rPr>
                <w:rStyle w:val="defaultparagraphfont-000020"/>
              </w:rPr>
              <w:t>informalnom</w:t>
            </w:r>
            <w:proofErr w:type="spellEnd"/>
            <w:r>
              <w:rPr>
                <w:rStyle w:val="defaultparagraphfont-000020"/>
              </w:rPr>
              <w:t xml:space="preserve"> okruženju, unapređenje znanja, vještina i kompetencija radne snage, promicanje fleksibilnih</w:t>
            </w:r>
            <w:r>
              <w:rPr>
                <w:rStyle w:val="defaultparagraphfont-000020"/>
              </w:rPr>
              <w:t xml:space="preserve"> načina učenja, između </w:t>
            </w:r>
            <w:r>
              <w:rPr>
                <w:rStyle w:val="defaultparagraphfont-000020"/>
              </w:rPr>
              <w:lastRenderedPageBreak/>
              <w:t>ostalog profesionalnim savjetovanjem i potvrđivanjem stečenih kompetencija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10.iii.1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Omogućavanje boljeg pristupa obrazovanju učenicima u nepovoljnom položaju u pred-tercijarnom obrazovanju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10.iii.2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Promicanje pristupa cjeloživotnom učenju kroz unapređivanje ključnih kompetencija </w:t>
            </w:r>
            <w:r>
              <w:rPr>
                <w:rStyle w:val="defaultparagraphfont-000020"/>
              </w:rPr>
              <w:lastRenderedPageBreak/>
              <w:t>studenata, te primjenu informacijskih i komunikacijskih tehnologija u poučavanju i učenju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10.iii.3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obrazovnog sustava za odrasle i unapređenje vješti</w:t>
            </w:r>
            <w:r>
              <w:rPr>
                <w:rStyle w:val="defaultparagraphfont-000020"/>
              </w:rPr>
              <w:t>na i kompetencija odraslih polaznika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Poboljšanje značaja obrazovnih sustava i sustava osposobljavanja za tržište rada, olakšavanje prijelaza iz škole na posao, jačanje sustava strukovnog obrazovanja i osposobljavanja te njihove kvalitete, između os</w:t>
            </w:r>
            <w:r>
              <w:rPr>
                <w:rStyle w:val="defaultparagraphfont-000020"/>
              </w:rPr>
              <w:t>talog mehanizmima za predviđanje vještina, prilagodbom nastavnih planova i programa te uvođenjem i razvojem sustava učenja koji se temelje na radu, uključujući dualne sustave učenja i programe naukovanja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10.iv.1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Modernizacija ponude strukovnog obrazovanja te podizanje njegove kvalitete radi povećanja </w:t>
            </w:r>
            <w:proofErr w:type="spellStart"/>
            <w:r>
              <w:rPr>
                <w:rStyle w:val="defaultparagraphfont-000020"/>
              </w:rPr>
              <w:t>zapošljivosti</w:t>
            </w:r>
            <w:proofErr w:type="spellEnd"/>
            <w:r>
              <w:rPr>
                <w:rStyle w:val="defaultparagraphfont-000020"/>
              </w:rPr>
              <w:t xml:space="preserve"> učenika kao i mogućnosti za daljnje obrazovanje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znanosti i obrazovanja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rada, mirovinskoga sustava, obitelji i socijalne politike (za specifični cilj 10.iv.1, u dijelu koji se provodi kao integrirano teritorijalno ulaganje)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turizma i sporta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4. Dobro upravljanje</w:t>
            </w:r>
            <w:r>
              <w:t xml:space="preserve">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Ulaganje u institucionalne kapaci</w:t>
            </w:r>
            <w:r>
              <w:rPr>
                <w:rStyle w:val="defaultparagraphfont-000020"/>
              </w:rPr>
              <w:t xml:space="preserve">tete te u učinkovitost javnih uprava i javnih usluga na nacionalnoj, regionalnoj i lokalnoj razini s </w:t>
            </w:r>
            <w:r>
              <w:rPr>
                <w:rStyle w:val="defaultparagraphfont-000020"/>
              </w:rPr>
              <w:lastRenderedPageBreak/>
              <w:t>ciljem reformiranja, boljeg uređivanja i dobrog upravljanja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lastRenderedPageBreak/>
              <w:t>11.i.1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Povećanje djelotvornosti i kapaciteta u javnoj upravi kroz poboljšanje pružanja usl</w:t>
            </w:r>
            <w:r>
              <w:rPr>
                <w:rStyle w:val="defaultparagraphfont-000020"/>
              </w:rPr>
              <w:t>uga i upravljanja ljudskim potencijalima</w:t>
            </w:r>
            <w:r>
              <w:t xml:space="preserve">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000029"/>
              </w:rPr>
              <w:t> </w:t>
            </w:r>
            <w:r>
              <w:t xml:space="preserve"> </w:t>
            </w:r>
          </w:p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11.i.2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Unapređenje kapaciteta i funkcioniranja pravosuđa kroz poboljšanje upravljanja i kompetencija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Izgradnja kapaciteta za sve dionike koji osiguravaju obrazovanje, cjeloživotno obrazovanje, osposobljavanje te zapošljavanje i socijalne politike, uključu</w:t>
            </w:r>
            <w:r>
              <w:rPr>
                <w:rStyle w:val="defaultparagraphfont-000020"/>
              </w:rPr>
              <w:t>jući uz pomoć sektorskih i teritorijalnih paktova radi omogućavanja reformi na nacionalnoj, regionalnoj i lokalnoj razini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11.ii.1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Razvoj kapaciteta organizacija civilnog društva, osobito udruga i socijalnih partnera, te jačanje civilnog i socijalnog dijaloga radi boljeg upravljanja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 xml:space="preserve">Ured za udruge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 xml:space="preserve">Ministarstvo </w:t>
            </w:r>
            <w:r>
              <w:rPr>
                <w:rStyle w:val="defaultparagraphfont-000020"/>
              </w:rPr>
              <w:t>kulture i medija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  <w:p w:rsidR="00000000" w:rsidRDefault="001E681C">
            <w:pPr>
              <w:pStyle w:val="normal-000032"/>
              <w:spacing w:before="0" w:after="0"/>
            </w:pPr>
            <w:r>
              <w:rPr>
                <w:rStyle w:val="defaultparagraphfont-000020"/>
              </w:rPr>
              <w:t>Nacionalna zaklada za razvoj civilnoga društva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5. Tehnička pomoć</w:t>
            </w:r>
            <w:r>
              <w:t xml:space="preserve">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Nije primjenjivo</w:t>
            </w:r>
            <w: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1.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Osiguranje učinkovite pripreme, upravljanja, provedbe, praćenja, vrednovanja i kontrole Operativnog programa</w:t>
            </w:r>
            <w:r>
              <w:t xml:space="preserve">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Ministarstvo rada, mirovinskoga sustava, obitelji i socijalne politike</w:t>
            </w:r>
            <w: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Hrvatski zavod za zapošljavanje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2.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Podrška potencijalnim korisnicima i regionalnim dionicima u uspješnom prijavljivanju i provedbi ESF projekata jačanjem njihovih kapaciteta i razvijanjem kvalitetne zalihe budućih projekata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>3.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0000" w:rsidRDefault="001E681C">
            <w:pPr>
              <w:pStyle w:val="normal-000022"/>
            </w:pPr>
            <w:r>
              <w:rPr>
                <w:rStyle w:val="defaultparagraphfont-000020"/>
              </w:rPr>
              <w:t xml:space="preserve">Podrška </w:t>
            </w:r>
            <w:r>
              <w:rPr>
                <w:rStyle w:val="defaultparagraphfont-000020"/>
              </w:rPr>
              <w:lastRenderedPageBreak/>
              <w:t>komunikacijskim aktivnostima u svrhu djelot</w:t>
            </w:r>
            <w:r>
              <w:rPr>
                <w:rStyle w:val="defaultparagraphfont-000020"/>
              </w:rPr>
              <w:t>vorne provedbe Komunikacijske strategije i osiguranje kvalitetnog informiranja potencijalnih korisnika i voditelja projekata o mogućnostima i uvjetima financiranja u okviru Operativnog programa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E681C"/>
        </w:tc>
        <w:tc>
          <w:tcPr>
            <w:tcW w:w="0" w:type="auto"/>
            <w:vAlign w:val="center"/>
            <w:hideMark/>
          </w:tcPr>
          <w:p w:rsidR="00000000" w:rsidRDefault="001E68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E681C">
      <w:pPr>
        <w:pStyle w:val="normal-000048"/>
        <w:spacing w:before="0" w:after="0"/>
      </w:pPr>
      <w:r>
        <w:rPr>
          <w:rStyle w:val="000049"/>
        </w:rPr>
        <w:t xml:space="preserve">  </w:t>
      </w:r>
    </w:p>
    <w:p w:rsidR="00000000" w:rsidRDefault="001E681C">
      <w:pPr>
        <w:pStyle w:val="normal-000048"/>
        <w:spacing w:before="0" w:after="0"/>
      </w:pPr>
      <w:r>
        <w:rPr>
          <w:rStyle w:val="000049"/>
        </w:rPr>
        <w:t xml:space="preserve">  </w:t>
      </w:r>
    </w:p>
    <w:p w:rsidR="00000000" w:rsidRDefault="001E681C">
      <w:pPr>
        <w:pStyle w:val="normal-000048"/>
        <w:spacing w:before="0" w:after="0"/>
      </w:pPr>
      <w:r>
        <w:rPr>
          <w:rStyle w:val="000049"/>
        </w:rPr>
        <w:t xml:space="preserve">  </w:t>
      </w:r>
    </w:p>
    <w:p w:rsidR="00000000" w:rsidRDefault="001E681C">
      <w:pPr>
        <w:pStyle w:val="normal-000048"/>
        <w:spacing w:before="0" w:after="0"/>
      </w:pPr>
      <w:r>
        <w:rPr>
          <w:rStyle w:val="000049"/>
        </w:rPr>
        <w:t xml:space="preserve">  </w:t>
      </w:r>
    </w:p>
    <w:p w:rsidR="001E681C" w:rsidRDefault="001E681C">
      <w:pPr>
        <w:pStyle w:val="normal-000048"/>
        <w:spacing w:before="0" w:after="0"/>
      </w:pPr>
      <w:r>
        <w:rPr>
          <w:rStyle w:val="000049"/>
        </w:rPr>
        <w:t xml:space="preserve">  </w:t>
      </w:r>
    </w:p>
    <w:sectPr w:rsidR="001E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87"/>
    <w:rsid w:val="001E681C"/>
    <w:rsid w:val="00D56600"/>
    <w:rsid w:val="00D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01EB-D951-4E12-93BD-1DD38BEC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pPr>
      <w:spacing w:after="3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00">
    <w:name w:val="normal-000000"/>
    <w:basedOn w:val="Normal"/>
    <w:pPr>
      <w:spacing w:after="3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02">
    <w:name w:val="normal-000002"/>
    <w:basedOn w:val="Normal"/>
    <w:pPr>
      <w:spacing w:after="3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6">
    <w:name w:val="normal-000006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0">
    <w:name w:val="normal-000010"/>
    <w:basedOn w:val="Normal"/>
    <w:pPr>
      <w:spacing w:after="10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hd w:val="clear" w:color="auto" w:fill="FFFFFF"/>
      <w:spacing w:after="10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2">
    <w:name w:val="normal-000012"/>
    <w:basedOn w:val="Normal"/>
    <w:pPr>
      <w:shd w:val="clear" w:color="auto" w:fill="FFFFFF"/>
      <w:spacing w:after="105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before="100" w:beforeAutospacing="1" w:after="195" w:line="30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9">
    <w:name w:val="normal-000019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22">
    <w:name w:val="normal-000022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31">
    <w:name w:val="normal-000031"/>
    <w:basedOn w:val="Normal"/>
    <w:pPr>
      <w:spacing w:after="135" w:line="240" w:lineRule="auto"/>
    </w:pPr>
    <w:rPr>
      <w:rFonts w:ascii="Times New Roman" w:hAnsi="Times New Roman" w:cs="Times New Roman"/>
    </w:rPr>
  </w:style>
  <w:style w:type="paragraph" w:customStyle="1" w:styleId="normal-000032">
    <w:name w:val="normal-000032"/>
    <w:basedOn w:val="Normal"/>
    <w:pPr>
      <w:spacing w:before="100" w:beforeAutospacing="1" w:after="195" w:line="240" w:lineRule="auto"/>
    </w:pPr>
    <w:rPr>
      <w:rFonts w:ascii="Times New Roman" w:hAnsi="Times New Roman" w:cs="Times New Roman"/>
    </w:rPr>
  </w:style>
  <w:style w:type="paragraph" w:customStyle="1" w:styleId="normal-000035">
    <w:name w:val="normal-000035"/>
    <w:basedOn w:val="Normal"/>
    <w:pPr>
      <w:spacing w:after="105" w:line="240" w:lineRule="auto"/>
    </w:pPr>
    <w:rPr>
      <w:rFonts w:ascii="Times New Roman" w:hAnsi="Times New Roman" w:cs="Times New Roman"/>
    </w:rPr>
  </w:style>
  <w:style w:type="paragraph" w:customStyle="1" w:styleId="normal-000048">
    <w:name w:val="normal-000048"/>
    <w:basedOn w:val="Normal"/>
    <w:pPr>
      <w:spacing w:before="100" w:beforeAutospacing="1" w:after="195" w:line="3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  <w:style w:type="character" w:customStyle="1" w:styleId="000001">
    <w:name w:val="000001"/>
    <w:basedOn w:val="Zadanifontodlomka"/>
    <w:rPr>
      <w:b w:val="0"/>
      <w:bCs w:val="0"/>
      <w:color w:val="231F20"/>
      <w:sz w:val="24"/>
      <w:szCs w:val="24"/>
    </w:rPr>
  </w:style>
  <w:style w:type="character" w:customStyle="1" w:styleId="defaultparagraphfont-000003">
    <w:name w:val="defaultparagraphfont-000003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5">
    <w:name w:val="000005"/>
    <w:basedOn w:val="Zadanifontodlomka"/>
    <w:rPr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9">
    <w:name w:val="defaultparagraphfont-000009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20">
    <w:name w:val="defaultparagraphfont-000020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29">
    <w:name w:val="000029"/>
    <w:basedOn w:val="Zadanifontodlomka"/>
    <w:rPr>
      <w:b w:val="0"/>
      <w:bCs w:val="0"/>
      <w:sz w:val="22"/>
      <w:szCs w:val="22"/>
    </w:rPr>
  </w:style>
  <w:style w:type="character" w:customStyle="1" w:styleId="defaultparagraphfont-000030">
    <w:name w:val="defaultparagraphfont-000030"/>
    <w:basedOn w:val="Zadanifontodlomka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34">
    <w:name w:val="defaultparagraphfont-000034"/>
    <w:basedOn w:val="Zadanifontodlomka"/>
    <w:rPr>
      <w:rFonts w:ascii="Calibri" w:hAnsi="Calibri" w:hint="default"/>
      <w:b w:val="0"/>
      <w:bCs w:val="0"/>
      <w:sz w:val="22"/>
      <w:szCs w:val="22"/>
    </w:rPr>
  </w:style>
  <w:style w:type="character" w:customStyle="1" w:styleId="000049">
    <w:name w:val="000049"/>
    <w:basedOn w:val="Zadanifontodlomka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3826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Adela Zobundžija</cp:lastModifiedBy>
  <cp:revision>2</cp:revision>
  <dcterms:created xsi:type="dcterms:W3CDTF">2021-03-01T14:19:00Z</dcterms:created>
  <dcterms:modified xsi:type="dcterms:W3CDTF">2021-03-01T14:19:00Z</dcterms:modified>
</cp:coreProperties>
</file>