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EB" w:rsidRDefault="000E7CEB" w:rsidP="000E7CEB">
      <w:pPr>
        <w:rPr>
          <w:rStyle w:val="Strong"/>
          <w:rFonts w:cs="Tahoma"/>
          <w:bCs w:val="0"/>
          <w:color w:val="333333"/>
          <w:sz w:val="24"/>
          <w:szCs w:val="24"/>
        </w:rPr>
      </w:pPr>
    </w:p>
    <w:p w:rsidR="000E7CEB" w:rsidRDefault="000E7CEB" w:rsidP="000E7CEB">
      <w:pPr>
        <w:rPr>
          <w:rStyle w:val="Strong"/>
          <w:rFonts w:cs="Tahoma"/>
          <w:bCs w:val="0"/>
          <w:color w:val="333333"/>
          <w:sz w:val="24"/>
          <w:szCs w:val="24"/>
        </w:rPr>
      </w:pPr>
    </w:p>
    <w:p w:rsidR="000E7CEB" w:rsidRDefault="000E7CEB" w:rsidP="000E7CEB">
      <w:pPr>
        <w:rPr>
          <w:rStyle w:val="Strong"/>
          <w:rFonts w:cs="Tahoma"/>
          <w:bCs w:val="0"/>
          <w:color w:val="333333"/>
          <w:sz w:val="24"/>
          <w:szCs w:val="24"/>
        </w:rPr>
      </w:pPr>
    </w:p>
    <w:p w:rsidR="00597A61" w:rsidRDefault="006B7827" w:rsidP="00597A61">
      <w:pPr>
        <w:jc w:val="center"/>
        <w:rPr>
          <w:rStyle w:val="Strong"/>
          <w:rFonts w:cs="Tahoma"/>
          <w:bCs w:val="0"/>
          <w:color w:val="333333"/>
          <w:sz w:val="24"/>
          <w:szCs w:val="24"/>
        </w:rPr>
      </w:pPr>
      <w:r>
        <w:rPr>
          <w:rStyle w:val="Strong"/>
          <w:rFonts w:cs="Tahoma"/>
          <w:bCs w:val="0"/>
          <w:color w:val="333333"/>
          <w:sz w:val="24"/>
          <w:szCs w:val="24"/>
        </w:rPr>
        <w:t xml:space="preserve">POPIS </w:t>
      </w:r>
      <w:r w:rsidR="000E7CEB" w:rsidRPr="000E7CEB">
        <w:rPr>
          <w:rStyle w:val="Strong"/>
          <w:rFonts w:cs="Tahoma"/>
          <w:bCs w:val="0"/>
          <w:color w:val="333333"/>
          <w:sz w:val="24"/>
          <w:szCs w:val="24"/>
        </w:rPr>
        <w:t xml:space="preserve">KLIJENATA </w:t>
      </w:r>
    </w:p>
    <w:p w:rsidR="000E7CEB" w:rsidRPr="000E7CEB" w:rsidRDefault="000E7CEB" w:rsidP="00597A61">
      <w:pPr>
        <w:jc w:val="center"/>
        <w:rPr>
          <w:rStyle w:val="Strong"/>
          <w:rFonts w:cs="Tahoma"/>
          <w:bCs w:val="0"/>
          <w:color w:val="333333"/>
          <w:sz w:val="24"/>
          <w:szCs w:val="24"/>
        </w:rPr>
      </w:pPr>
      <w:r w:rsidRPr="000E7CEB">
        <w:rPr>
          <w:rStyle w:val="Strong"/>
          <w:rFonts w:cs="Tahoma"/>
          <w:bCs w:val="0"/>
          <w:color w:val="333333"/>
          <w:sz w:val="24"/>
          <w:szCs w:val="24"/>
        </w:rPr>
        <w:t>poslovnih subjekata i institucija s kojima uspješno surađujemo:</w:t>
      </w:r>
    </w:p>
    <w:p w:rsidR="003B7168" w:rsidRPr="00973CB7" w:rsidRDefault="003B7168" w:rsidP="003B7168">
      <w:pPr>
        <w:rPr>
          <w:rStyle w:val="Strong"/>
          <w:rFonts w:cs="Tahoma"/>
          <w:color w:val="333333"/>
          <w:sz w:val="20"/>
          <w:szCs w:val="20"/>
        </w:rPr>
      </w:pPr>
      <w:r w:rsidRPr="00973CB7">
        <w:rPr>
          <w:rStyle w:val="Strong"/>
          <w:rFonts w:cs="Tahoma"/>
          <w:color w:val="333333"/>
          <w:sz w:val="20"/>
          <w:szCs w:val="20"/>
        </w:rPr>
        <w:t xml:space="preserve">                               </w:t>
      </w:r>
      <w:r>
        <w:rPr>
          <w:rStyle w:val="Strong"/>
          <w:rFonts w:cs="Tahoma"/>
          <w:color w:val="333333"/>
          <w:sz w:val="20"/>
          <w:szCs w:val="20"/>
        </w:rPr>
        <w:t xml:space="preserve">      </w:t>
      </w:r>
    </w:p>
    <w:tbl>
      <w:tblPr>
        <w:tblpPr w:leftFromText="180" w:rightFromText="180" w:vertAnchor="page" w:horzAnchor="margin" w:tblpY="34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260"/>
      </w:tblGrid>
      <w:tr w:rsidR="003B7168" w:rsidRPr="000E7CEB" w:rsidTr="000E7CEB">
        <w:tc>
          <w:tcPr>
            <w:tcW w:w="5637" w:type="dxa"/>
            <w:shd w:val="clear" w:color="auto" w:fill="D9D9D9" w:themeFill="background1" w:themeFillShade="D9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color w:val="333333"/>
              </w:rPr>
              <w:t>INSTITUCIJE: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color w:val="333333"/>
              </w:rPr>
              <w:t>POSLOVNI SUBJEKTI: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Osnovna škola Bjelovar (I. II. III. IV. i V.)</w:t>
            </w:r>
          </w:p>
        </w:tc>
        <w:tc>
          <w:tcPr>
            <w:tcW w:w="3260" w:type="dxa"/>
          </w:tcPr>
          <w:p w:rsidR="003B7168" w:rsidRPr="000E7CEB" w:rsidRDefault="00186FD3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Cormo d.o.o.</w:t>
            </w:r>
          </w:p>
        </w:tc>
      </w:tr>
      <w:tr w:rsidR="003B7168" w:rsidRPr="000E7CEB" w:rsidTr="000E7CEB">
        <w:trPr>
          <w:trHeight w:val="218"/>
        </w:trPr>
        <w:tc>
          <w:tcPr>
            <w:tcW w:w="5637" w:type="dxa"/>
            <w:vMerge w:val="restart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Fonts w:cs="Tahoma"/>
                <w:color w:val="333333"/>
              </w:rPr>
              <w:t>Srednje škole (Ekonomska, Obrtnička, Tehnička, Komercijalna, Ugostiteljska, Gimnazija i Medicinska)</w:t>
            </w:r>
          </w:p>
        </w:tc>
        <w:tc>
          <w:tcPr>
            <w:tcW w:w="3260" w:type="dxa"/>
          </w:tcPr>
          <w:p w:rsidR="003B7168" w:rsidRPr="000E7CEB" w:rsidRDefault="00186FD3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Gala d.o.o.</w:t>
            </w:r>
          </w:p>
        </w:tc>
      </w:tr>
      <w:tr w:rsidR="003B7168" w:rsidRPr="000E7CEB" w:rsidTr="000E7CEB">
        <w:trPr>
          <w:trHeight w:val="217"/>
        </w:trPr>
        <w:tc>
          <w:tcPr>
            <w:tcW w:w="5637" w:type="dxa"/>
            <w:vMerge/>
          </w:tcPr>
          <w:p w:rsidR="003B7168" w:rsidRPr="000E7CEB" w:rsidRDefault="003B7168" w:rsidP="000E7CEB">
            <w:pPr>
              <w:rPr>
                <w:rFonts w:cs="Tahoma"/>
                <w:color w:val="333333"/>
              </w:rPr>
            </w:pP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Gradska pekara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Dječji vrtić Bjelovar, Ciciban, Osmijeh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Vodotehna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Pučko otvoreno učilište Bjelovar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Data link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H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rvatska 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>O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brtnička Komora 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>Bjelovar i Udruženja obrtnika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Troha-dil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HGK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 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>–Županijska komora Bjelovar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VIK Iverali d.o.o.</w:t>
            </w:r>
          </w:p>
        </w:tc>
      </w:tr>
      <w:tr w:rsidR="003B7168" w:rsidRPr="000E7CEB" w:rsidTr="000E7CEB">
        <w:trPr>
          <w:trHeight w:val="210"/>
        </w:trPr>
        <w:tc>
          <w:tcPr>
            <w:tcW w:w="5637" w:type="dxa"/>
            <w:vMerge w:val="restart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Općine (Veliko Trojstvo, Šandrovac, V. Pisanica, Rovišće, 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              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Z. Topolovac, Severin i Kapela )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Parketi Sabljo d.o.o.</w:t>
            </w:r>
          </w:p>
        </w:tc>
      </w:tr>
      <w:tr w:rsidR="003B7168" w:rsidRPr="000E7CEB" w:rsidTr="000E7CEB">
        <w:trPr>
          <w:trHeight w:val="210"/>
        </w:trPr>
        <w:tc>
          <w:tcPr>
            <w:tcW w:w="5637" w:type="dxa"/>
            <w:vMerge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DI Čazma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Visoka tehnička škola Bjelovar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Poduzeće za ceste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Ekonomski fakultet Rijeka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KB Color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Ekonomski fakultet Zagreb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Stimo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Grupa VERN Zagreb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Brtva-Plast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Energetski Institut Hrvoje Požar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Intra-lighting d.o.o. Čazma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HZZ Podružnica Bjelovar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Sirovina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FINA Podružnica Bjelovar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Rotor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Turistička zajednica Grada i Županije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M Plan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Razvojna agencija Čazma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Metra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Regionalna razvojna agencija BBŽ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Prima Commerce d.o.o.</w:t>
            </w:r>
          </w:p>
        </w:tc>
      </w:tr>
      <w:tr w:rsidR="003B7168" w:rsidRPr="000E7CEB" w:rsidTr="000E7CEB">
        <w:tc>
          <w:tcPr>
            <w:tcW w:w="5637" w:type="dxa"/>
            <w:shd w:val="clear" w:color="auto" w:fill="D9D9D9" w:themeFill="background1" w:themeFillShade="D9"/>
          </w:tcPr>
          <w:p w:rsidR="003B7168" w:rsidRPr="000E7CEB" w:rsidRDefault="003B7168" w:rsidP="000E7CEB">
            <w:pPr>
              <w:rPr>
                <w:rStyle w:val="Strong"/>
                <w:rFonts w:cs="Tahoma"/>
                <w:bCs w:val="0"/>
                <w:color w:val="333333"/>
              </w:rPr>
            </w:pPr>
          </w:p>
          <w:p w:rsidR="003B7168" w:rsidRPr="000E7CEB" w:rsidRDefault="003B7168" w:rsidP="000E7CEB">
            <w:pPr>
              <w:rPr>
                <w:rStyle w:val="Strong"/>
                <w:rFonts w:cs="Tahoma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Cs w:val="0"/>
                <w:color w:val="333333"/>
              </w:rPr>
              <w:t>UDRUGE: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Ervojić d.o.o.</w:t>
            </w:r>
          </w:p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VRT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Udruga Bjelovarski graničari Husari 1756.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Vedriš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HORKUD Golub Bjelovar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OPG Juranić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Bjelovarski plivački klub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Cron</w:t>
            </w:r>
            <w:r w:rsidR="00186FD3"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o</w:t>
            </w: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span CRO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Udruga zbora narodne garde A satnije Bjelovar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Hittner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Udruga Mikroregija sjeverna Bilogora 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Tisak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Zaklada „Hrvatska bez mina“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WMD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Udruga Hrvatskih branitelja</w:t>
            </w:r>
            <w:r w:rsidRPr="000E7CEB">
              <w:rPr>
                <w:rStyle w:val="Strong"/>
                <w:rFonts w:cs="Tahoma"/>
                <w:b w:val="0"/>
                <w:color w:val="333333"/>
              </w:rPr>
              <w:t xml:space="preserve"> BBŽ i Grada Bjelovara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Radionica za obradu Unger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Bjelovarska udruga za razvoj i zapošljavanje</w:t>
            </w:r>
          </w:p>
        </w:tc>
        <w:tc>
          <w:tcPr>
            <w:tcW w:w="3260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Studio DA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Udruga osoba oštećena sluha BBŽ</w:t>
            </w:r>
          </w:p>
        </w:tc>
        <w:tc>
          <w:tcPr>
            <w:tcW w:w="3260" w:type="dxa"/>
          </w:tcPr>
          <w:p w:rsidR="003B7168" w:rsidRPr="000E7CEB" w:rsidRDefault="00186FD3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Image Enter d.o.o.</w:t>
            </w:r>
          </w:p>
        </w:tc>
      </w:tr>
      <w:tr w:rsidR="003B7168" w:rsidRPr="000E7CEB" w:rsidTr="000E7CEB">
        <w:tc>
          <w:tcPr>
            <w:tcW w:w="5637" w:type="dxa"/>
          </w:tcPr>
          <w:p w:rsidR="003B7168" w:rsidRPr="000E7CEB" w:rsidRDefault="003B7168" w:rsidP="000E7CEB">
            <w:pPr>
              <w:rPr>
                <w:rStyle w:val="Strong"/>
                <w:rFonts w:cs="Tahoma"/>
                <w:b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color w:val="333333"/>
              </w:rPr>
              <w:t>Klub liječenih alkoholičara BBŽ</w:t>
            </w:r>
          </w:p>
        </w:tc>
        <w:tc>
          <w:tcPr>
            <w:tcW w:w="3260" w:type="dxa"/>
          </w:tcPr>
          <w:p w:rsidR="003B7168" w:rsidRPr="000E7CEB" w:rsidRDefault="00186FD3" w:rsidP="000E7CEB">
            <w:pPr>
              <w:rPr>
                <w:rStyle w:val="Strong"/>
                <w:rFonts w:cs="Tahoma"/>
                <w:b w:val="0"/>
                <w:bCs w:val="0"/>
                <w:color w:val="333333"/>
              </w:rPr>
            </w:pPr>
            <w:r w:rsidRPr="000E7CEB">
              <w:rPr>
                <w:rStyle w:val="Strong"/>
                <w:rFonts w:cs="Tahoma"/>
                <w:b w:val="0"/>
                <w:bCs w:val="0"/>
                <w:color w:val="333333"/>
              </w:rPr>
              <w:t>Socijalna zadruga Pružimo ruke</w:t>
            </w:r>
          </w:p>
        </w:tc>
      </w:tr>
    </w:tbl>
    <w:p w:rsidR="00A35256" w:rsidRDefault="000C7FCE" w:rsidP="003B7168"/>
    <w:sectPr w:rsidR="00A35256" w:rsidSect="00AD4AA0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CE" w:rsidRDefault="000C7FCE" w:rsidP="000E7CEB">
      <w:r>
        <w:separator/>
      </w:r>
    </w:p>
  </w:endnote>
  <w:endnote w:type="continuationSeparator" w:id="1">
    <w:p w:rsidR="000C7FCE" w:rsidRDefault="000C7FCE" w:rsidP="000E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CE" w:rsidRDefault="000C7FCE" w:rsidP="000E7CEB">
      <w:r>
        <w:separator/>
      </w:r>
    </w:p>
  </w:footnote>
  <w:footnote w:type="continuationSeparator" w:id="1">
    <w:p w:rsidR="000C7FCE" w:rsidRDefault="000C7FCE" w:rsidP="000E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EB" w:rsidRDefault="000E7CEB">
    <w:pPr>
      <w:pStyle w:val="Header"/>
    </w:pPr>
    <w:r w:rsidRPr="000E7CE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-20955</wp:posOffset>
          </wp:positionV>
          <wp:extent cx="2571750" cy="7620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168"/>
    <w:rsid w:val="000C7FCE"/>
    <w:rsid w:val="000E7CEB"/>
    <w:rsid w:val="00186FD3"/>
    <w:rsid w:val="003B7168"/>
    <w:rsid w:val="003F0174"/>
    <w:rsid w:val="00597A61"/>
    <w:rsid w:val="006B7827"/>
    <w:rsid w:val="00AD4AA0"/>
    <w:rsid w:val="00F3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6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716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E7CE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CEB"/>
    <w:rPr>
      <w:rFonts w:ascii="Calibri" w:eastAsia="Times New Roman" w:hAnsi="Calibri" w:cs="Times New Roman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E7CE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CEB"/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2015-02-02T18:10:00Z</dcterms:created>
  <dcterms:modified xsi:type="dcterms:W3CDTF">2015-02-02T19:00:00Z</dcterms:modified>
</cp:coreProperties>
</file>